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34DF8" w14:textId="1FC574D3" w:rsidR="003F5AE7" w:rsidRPr="00FB3C7A" w:rsidRDefault="003F5AE7" w:rsidP="00FB0C30">
      <w:pPr>
        <w:rPr>
          <w:rFonts w:ascii="Century Gothic" w:hAnsi="Century Gothic"/>
          <w:b/>
          <w:bCs/>
        </w:rPr>
      </w:pPr>
      <w:r w:rsidRPr="00FB3C7A">
        <w:rPr>
          <w:rFonts w:ascii="Century Gothic" w:hAnsi="Century Gothic"/>
        </w:rPr>
        <w:tab/>
      </w:r>
      <w:r w:rsidRPr="00FB3C7A">
        <w:rPr>
          <w:rFonts w:ascii="Century Gothic" w:hAnsi="Century Gothic"/>
        </w:rPr>
        <w:tab/>
      </w:r>
      <w:r w:rsidRPr="00FB3C7A">
        <w:rPr>
          <w:rFonts w:ascii="Century Gothic" w:hAnsi="Century Gothic"/>
        </w:rPr>
        <w:tab/>
      </w:r>
      <w:r w:rsidRPr="00FB3C7A">
        <w:rPr>
          <w:rFonts w:ascii="Century Gothic" w:hAnsi="Century Gothic"/>
        </w:rPr>
        <w:tab/>
      </w:r>
      <w:r w:rsidRPr="00FB3C7A">
        <w:rPr>
          <w:rFonts w:ascii="Century Gothic" w:hAnsi="Century Gothic"/>
        </w:rPr>
        <w:tab/>
      </w:r>
      <w:r w:rsidRPr="00FB3C7A">
        <w:rPr>
          <w:rFonts w:ascii="Century Gothic" w:hAnsi="Century Gothic"/>
        </w:rPr>
        <w:tab/>
      </w:r>
      <w:r w:rsidRPr="00FB3C7A">
        <w:rPr>
          <w:rFonts w:ascii="Century Gothic" w:hAnsi="Century Gothic"/>
        </w:rPr>
        <w:tab/>
      </w:r>
      <w:r w:rsidRPr="00FB3C7A">
        <w:rPr>
          <w:rFonts w:ascii="Century Gothic" w:hAnsi="Century Gothic"/>
        </w:rPr>
        <w:tab/>
      </w:r>
      <w:r w:rsidRPr="00FB3C7A">
        <w:rPr>
          <w:rFonts w:ascii="Century Gothic" w:hAnsi="Century Gothic"/>
        </w:rPr>
        <w:tab/>
      </w:r>
      <w:r w:rsidRPr="00FB3C7A">
        <w:rPr>
          <w:rFonts w:ascii="Century Gothic" w:hAnsi="Century Gothic"/>
          <w:b/>
          <w:bCs/>
        </w:rPr>
        <w:t>Asia Pacific Positive Impact Conference - India Edition</w:t>
      </w:r>
      <w:r w:rsidR="00B55F40" w:rsidRPr="00FB3C7A">
        <w:rPr>
          <w:rFonts w:ascii="Century Gothic" w:hAnsi="Century Gothic"/>
          <w:b/>
          <w:bCs/>
        </w:rPr>
        <w:t xml:space="preserve"> </w:t>
      </w:r>
    </w:p>
    <w:p w14:paraId="20CFFF9A" w14:textId="751F820A" w:rsidR="003F5AE7" w:rsidRPr="00FB3C7A" w:rsidRDefault="003F5AE7" w:rsidP="00FB0C30">
      <w:pPr>
        <w:rPr>
          <w:rFonts w:ascii="Century Gothic" w:hAnsi="Century Gothic"/>
        </w:rPr>
      </w:pPr>
      <w:r w:rsidRPr="00FB3C7A">
        <w:rPr>
          <w:rFonts w:ascii="Century Gothic" w:hAnsi="Century Gothic"/>
          <w:b/>
          <w:bCs/>
        </w:rPr>
        <w:tab/>
      </w:r>
      <w:r w:rsidRPr="00FB3C7A">
        <w:rPr>
          <w:rFonts w:ascii="Century Gothic" w:hAnsi="Century Gothic"/>
          <w:b/>
          <w:bCs/>
        </w:rPr>
        <w:tab/>
      </w:r>
      <w:r w:rsidRPr="00FB3C7A">
        <w:rPr>
          <w:rFonts w:ascii="Century Gothic" w:hAnsi="Century Gothic"/>
          <w:b/>
          <w:bCs/>
        </w:rPr>
        <w:tab/>
      </w:r>
      <w:r w:rsidRPr="00FB3C7A">
        <w:rPr>
          <w:rFonts w:ascii="Century Gothic" w:hAnsi="Century Gothic"/>
          <w:b/>
          <w:bCs/>
        </w:rPr>
        <w:tab/>
      </w:r>
      <w:r w:rsidRPr="00FB3C7A">
        <w:rPr>
          <w:rFonts w:ascii="Century Gothic" w:hAnsi="Century Gothic"/>
          <w:b/>
          <w:bCs/>
        </w:rPr>
        <w:tab/>
      </w:r>
      <w:r w:rsidRPr="00FB3C7A">
        <w:rPr>
          <w:rFonts w:ascii="Century Gothic" w:hAnsi="Century Gothic"/>
          <w:b/>
          <w:bCs/>
        </w:rPr>
        <w:tab/>
      </w:r>
      <w:r w:rsidRPr="00FB3C7A">
        <w:rPr>
          <w:rFonts w:ascii="Century Gothic" w:hAnsi="Century Gothic"/>
          <w:b/>
          <w:bCs/>
        </w:rPr>
        <w:tab/>
      </w:r>
      <w:r w:rsidRPr="00FB3C7A">
        <w:rPr>
          <w:rFonts w:ascii="Century Gothic" w:hAnsi="Century Gothic"/>
          <w:b/>
          <w:bCs/>
        </w:rPr>
        <w:tab/>
      </w:r>
      <w:r w:rsidRPr="00FB3C7A">
        <w:rPr>
          <w:rFonts w:ascii="Century Gothic" w:hAnsi="Century Gothic"/>
          <w:b/>
          <w:bCs/>
        </w:rPr>
        <w:tab/>
        <w:t xml:space="preserve">      Leading the Transition to a Sustainable Future</w:t>
      </w:r>
      <w:r w:rsidRPr="00FB3C7A">
        <w:rPr>
          <w:rFonts w:ascii="Century Gothic" w:hAnsi="Century Gothic"/>
        </w:rPr>
        <w:t xml:space="preserve"> </w:t>
      </w:r>
    </w:p>
    <w:p w14:paraId="22393641" w14:textId="77777777" w:rsidR="00B55F40" w:rsidRPr="00FB3C7A" w:rsidRDefault="00B55F40" w:rsidP="00FB0C30">
      <w:pPr>
        <w:rPr>
          <w:rFonts w:ascii="Century Gothic" w:hAnsi="Century Gothic"/>
        </w:rPr>
      </w:pPr>
    </w:p>
    <w:p w14:paraId="225D4761" w14:textId="06E88B6B" w:rsidR="00B55F40" w:rsidRPr="00FB3C7A" w:rsidRDefault="00B55F40" w:rsidP="00FB0C30">
      <w:pPr>
        <w:rPr>
          <w:rFonts w:ascii="Century Gothic" w:hAnsi="Century Gothic"/>
          <w:b/>
          <w:bCs/>
          <w:u w:val="single"/>
        </w:rPr>
      </w:pPr>
      <w:r w:rsidRPr="00FB3C7A">
        <w:rPr>
          <w:rFonts w:ascii="Century Gothic" w:hAnsi="Century Gothic"/>
          <w:b/>
          <w:bCs/>
          <w:u w:val="single"/>
        </w:rPr>
        <w:t>Panel Discussion: How can Blended Finance act as a catalyst to deliver the SDGs</w:t>
      </w:r>
    </w:p>
    <w:p w14:paraId="7FF0DF58" w14:textId="77777777" w:rsidR="00165950" w:rsidRPr="00FB3C7A" w:rsidRDefault="00165950" w:rsidP="00FB0C30">
      <w:pPr>
        <w:rPr>
          <w:rFonts w:ascii="Century Gothic" w:hAnsi="Century Gothic"/>
        </w:rPr>
      </w:pPr>
    </w:p>
    <w:p w14:paraId="29B0025B" w14:textId="20E4ADEB" w:rsidR="00B55F40" w:rsidRPr="00FB3C7A" w:rsidRDefault="00B55F40" w:rsidP="00FB0C30">
      <w:pPr>
        <w:rPr>
          <w:rFonts w:ascii="Century Gothic" w:hAnsi="Century Gothic"/>
        </w:rPr>
      </w:pPr>
      <w:r w:rsidRPr="00FB3C7A">
        <w:rPr>
          <w:rFonts w:ascii="Century Gothic" w:hAnsi="Century Gothic"/>
          <w:b/>
          <w:bCs/>
        </w:rPr>
        <w:t>Date:</w:t>
      </w:r>
      <w:r w:rsidRPr="00FB3C7A">
        <w:rPr>
          <w:rFonts w:ascii="Century Gothic" w:hAnsi="Century Gothic"/>
        </w:rPr>
        <w:t xml:space="preserve"> 9th June 2022</w:t>
      </w:r>
    </w:p>
    <w:p w14:paraId="7D4E5533" w14:textId="77777777" w:rsidR="00165950" w:rsidRPr="00FB3C7A" w:rsidRDefault="00165950" w:rsidP="00FB0C30">
      <w:pPr>
        <w:rPr>
          <w:rFonts w:ascii="Century Gothic" w:hAnsi="Century Gothic"/>
        </w:rPr>
      </w:pPr>
    </w:p>
    <w:p w14:paraId="6E628B17" w14:textId="7F2D9715" w:rsidR="00B55F40" w:rsidRPr="00FB3C7A" w:rsidRDefault="00B55F40" w:rsidP="00FB0C30">
      <w:pPr>
        <w:rPr>
          <w:rFonts w:ascii="Century Gothic" w:hAnsi="Century Gothic"/>
        </w:rPr>
      </w:pPr>
      <w:r w:rsidRPr="00FB3C7A">
        <w:rPr>
          <w:rFonts w:ascii="Century Gothic" w:hAnsi="Century Gothic"/>
          <w:b/>
          <w:bCs/>
        </w:rPr>
        <w:t>Time</w:t>
      </w:r>
      <w:r w:rsidRPr="00FB3C7A">
        <w:rPr>
          <w:rFonts w:ascii="Century Gothic" w:hAnsi="Century Gothic"/>
        </w:rPr>
        <w:t xml:space="preserve">: 6.10 </w:t>
      </w:r>
      <w:r w:rsidR="00165950" w:rsidRPr="00FB3C7A">
        <w:rPr>
          <w:rFonts w:ascii="Century Gothic" w:hAnsi="Century Gothic"/>
        </w:rPr>
        <w:t xml:space="preserve">PM </w:t>
      </w:r>
      <w:r w:rsidRPr="00FB3C7A">
        <w:rPr>
          <w:rFonts w:ascii="Century Gothic" w:hAnsi="Century Gothic"/>
        </w:rPr>
        <w:t>to 6.50 PM</w:t>
      </w:r>
      <w:r w:rsidR="00BB4B05">
        <w:rPr>
          <w:rFonts w:ascii="Century Gothic" w:hAnsi="Century Gothic"/>
        </w:rPr>
        <w:t xml:space="preserve"> IST</w:t>
      </w:r>
    </w:p>
    <w:p w14:paraId="7F399D85" w14:textId="605CF21F" w:rsidR="00B55F40" w:rsidRPr="00FB3C7A" w:rsidRDefault="00B55F40" w:rsidP="00FB0C30">
      <w:pPr>
        <w:rPr>
          <w:rFonts w:ascii="Century Gothic" w:hAnsi="Century Gothic"/>
        </w:rPr>
      </w:pPr>
    </w:p>
    <w:p w14:paraId="68C1845F" w14:textId="63002D0A" w:rsidR="00B55F40" w:rsidRPr="00FB3C7A" w:rsidRDefault="00B55F40" w:rsidP="00FB0C30">
      <w:pPr>
        <w:rPr>
          <w:rFonts w:ascii="Century Gothic" w:hAnsi="Century Gothic"/>
        </w:rPr>
      </w:pPr>
    </w:p>
    <w:p w14:paraId="204742C1" w14:textId="57F51C37" w:rsidR="00FB0C30" w:rsidRPr="00FB3C7A" w:rsidRDefault="00B55F40" w:rsidP="00FB0C30">
      <w:pPr>
        <w:rPr>
          <w:rFonts w:ascii="Century Gothic" w:hAnsi="Century Gothic"/>
        </w:rPr>
      </w:pPr>
      <w:r w:rsidRPr="00FB3C7A">
        <w:rPr>
          <w:rFonts w:ascii="Century Gothic" w:hAnsi="Century Gothic"/>
          <w:b/>
          <w:bCs/>
        </w:rPr>
        <w:t>Moderator:</w:t>
      </w:r>
      <w:r w:rsidRPr="00FB3C7A">
        <w:rPr>
          <w:rFonts w:ascii="Century Gothic" w:hAnsi="Century Gothic"/>
        </w:rPr>
        <w:t xml:space="preserve"> </w:t>
      </w:r>
      <w:r w:rsidR="00165950" w:rsidRPr="00FB3C7A">
        <w:rPr>
          <w:rFonts w:ascii="Century Gothic" w:hAnsi="Century Gothic"/>
          <w:b/>
          <w:bCs/>
        </w:rPr>
        <w:t>Ashok Krishnamoorthy</w:t>
      </w:r>
      <w:r w:rsidR="00165950" w:rsidRPr="00FB3C7A">
        <w:rPr>
          <w:rFonts w:ascii="Century Gothic" w:hAnsi="Century Gothic"/>
        </w:rPr>
        <w:t xml:space="preserve">, COO &amp; CFO, </w:t>
      </w:r>
      <w:proofErr w:type="spellStart"/>
      <w:r w:rsidR="00165950" w:rsidRPr="00FB3C7A">
        <w:rPr>
          <w:rFonts w:ascii="Century Gothic" w:hAnsi="Century Gothic"/>
        </w:rPr>
        <w:t>Societe</w:t>
      </w:r>
      <w:proofErr w:type="spellEnd"/>
      <w:r w:rsidR="00165950" w:rsidRPr="00FB3C7A">
        <w:rPr>
          <w:rFonts w:ascii="Century Gothic" w:hAnsi="Century Gothic"/>
        </w:rPr>
        <w:t xml:space="preserve"> </w:t>
      </w:r>
      <w:proofErr w:type="spellStart"/>
      <w:r w:rsidR="00165950" w:rsidRPr="00FB3C7A">
        <w:rPr>
          <w:rFonts w:ascii="Century Gothic" w:hAnsi="Century Gothic"/>
        </w:rPr>
        <w:t>Generale</w:t>
      </w:r>
      <w:proofErr w:type="spellEnd"/>
      <w:r w:rsidR="00165950" w:rsidRPr="00FB3C7A">
        <w:rPr>
          <w:rFonts w:ascii="Century Gothic" w:hAnsi="Century Gothic"/>
        </w:rPr>
        <w:t xml:space="preserve"> India </w:t>
      </w:r>
    </w:p>
    <w:p w14:paraId="4E8B3059" w14:textId="68DAD4F3" w:rsidR="00165950" w:rsidRPr="00FB3C7A" w:rsidRDefault="00B55F40" w:rsidP="00FB0C30">
      <w:pPr>
        <w:rPr>
          <w:rFonts w:ascii="Century Gothic" w:hAnsi="Century Gothic"/>
        </w:rPr>
      </w:pPr>
      <w:r w:rsidRPr="00FB3C7A">
        <w:rPr>
          <w:rFonts w:ascii="Century Gothic" w:hAnsi="Century Gothic"/>
          <w:b/>
          <w:bCs/>
        </w:rPr>
        <w:t>Speakers:</w:t>
      </w:r>
      <w:r w:rsidRPr="00FB3C7A">
        <w:rPr>
          <w:rFonts w:ascii="Century Gothic" w:hAnsi="Century Gothic"/>
        </w:rPr>
        <w:t xml:space="preserve"> </w:t>
      </w:r>
      <w:r w:rsidR="00165950" w:rsidRPr="00FB3C7A">
        <w:rPr>
          <w:rFonts w:ascii="Century Gothic" w:hAnsi="Century Gothic"/>
          <w:b/>
          <w:bCs/>
        </w:rPr>
        <w:t>Shloka Nath,</w:t>
      </w:r>
      <w:r w:rsidR="00165950" w:rsidRPr="00FB3C7A">
        <w:rPr>
          <w:rFonts w:ascii="Century Gothic" w:hAnsi="Century Gothic"/>
        </w:rPr>
        <w:t xml:space="preserve"> Head, Sustainability, Policy and Advocacy, Tata Trusts</w:t>
      </w:r>
      <w:r w:rsidR="00FB0C30" w:rsidRPr="00FB3C7A">
        <w:rPr>
          <w:rFonts w:ascii="Century Gothic" w:hAnsi="Century Gothic"/>
        </w:rPr>
        <w:t xml:space="preserve">; </w:t>
      </w:r>
      <w:r w:rsidR="00165950" w:rsidRPr="00FB3C7A">
        <w:rPr>
          <w:rFonts w:ascii="Century Gothic" w:hAnsi="Century Gothic"/>
        </w:rPr>
        <w:t xml:space="preserve">Acting CEO, India Climate Collaborative I </w:t>
      </w:r>
      <w:r w:rsidR="00165950" w:rsidRPr="00FB3C7A">
        <w:rPr>
          <w:rFonts w:ascii="Century Gothic" w:hAnsi="Century Gothic"/>
          <w:b/>
          <w:bCs/>
        </w:rPr>
        <w:t>Himanshu Sikka</w:t>
      </w:r>
      <w:r w:rsidR="00165950" w:rsidRPr="00FB3C7A">
        <w:rPr>
          <w:rFonts w:ascii="Century Gothic" w:hAnsi="Century Gothic"/>
        </w:rPr>
        <w:t>, Project Director, SAMRIDH</w:t>
      </w:r>
      <w:r w:rsidR="00FB0C30" w:rsidRPr="00FB3C7A">
        <w:rPr>
          <w:rFonts w:ascii="Century Gothic" w:hAnsi="Century Gothic"/>
        </w:rPr>
        <w:t xml:space="preserve">; </w:t>
      </w:r>
      <w:r w:rsidR="00165950" w:rsidRPr="00FB3C7A">
        <w:rPr>
          <w:rFonts w:ascii="Century Gothic" w:hAnsi="Century Gothic"/>
        </w:rPr>
        <w:t xml:space="preserve">Chief Strategy </w:t>
      </w:r>
      <w:r w:rsidR="00FB0C30" w:rsidRPr="00FB3C7A">
        <w:rPr>
          <w:rFonts w:ascii="Century Gothic" w:hAnsi="Century Gothic"/>
        </w:rPr>
        <w:t xml:space="preserve">and </w:t>
      </w:r>
      <w:r w:rsidR="00165950" w:rsidRPr="00FB3C7A">
        <w:rPr>
          <w:rFonts w:ascii="Century Gothic" w:hAnsi="Century Gothic"/>
        </w:rPr>
        <w:t xml:space="preserve">Diversification Officer </w:t>
      </w:r>
      <w:r w:rsidR="00FB0C30" w:rsidRPr="00FB3C7A">
        <w:rPr>
          <w:rFonts w:ascii="Century Gothic" w:hAnsi="Century Gothic"/>
        </w:rPr>
        <w:t xml:space="preserve">and Practice Lead - </w:t>
      </w:r>
      <w:r w:rsidR="00165950" w:rsidRPr="00FB3C7A">
        <w:rPr>
          <w:rFonts w:ascii="Century Gothic" w:hAnsi="Century Gothic"/>
        </w:rPr>
        <w:t xml:space="preserve">Health, IPE Global </w:t>
      </w:r>
      <w:r w:rsidR="00FB0C30" w:rsidRPr="00FB3C7A">
        <w:rPr>
          <w:rFonts w:ascii="Century Gothic" w:hAnsi="Century Gothic"/>
        </w:rPr>
        <w:t xml:space="preserve">Limited </w:t>
      </w:r>
      <w:r w:rsidR="00165950" w:rsidRPr="00FB3C7A">
        <w:rPr>
          <w:rFonts w:ascii="Century Gothic" w:hAnsi="Century Gothic"/>
        </w:rPr>
        <w:t>I</w:t>
      </w:r>
      <w:r w:rsidR="00165950" w:rsidRPr="00FB3C7A">
        <w:rPr>
          <w:rFonts w:ascii="Century Gothic" w:hAnsi="Century Gothic"/>
          <w:b/>
          <w:bCs/>
        </w:rPr>
        <w:t xml:space="preserve"> Marie-Aimee </w:t>
      </w:r>
      <w:proofErr w:type="spellStart"/>
      <w:r w:rsidR="00165950" w:rsidRPr="00FB3C7A">
        <w:rPr>
          <w:rFonts w:ascii="Century Gothic" w:hAnsi="Century Gothic"/>
          <w:b/>
          <w:bCs/>
        </w:rPr>
        <w:t>Boury</w:t>
      </w:r>
      <w:proofErr w:type="spellEnd"/>
      <w:r w:rsidR="00165950" w:rsidRPr="00FB3C7A">
        <w:rPr>
          <w:rFonts w:ascii="Century Gothic" w:hAnsi="Century Gothic"/>
        </w:rPr>
        <w:t xml:space="preserve">, Head of Impact Based Finance, </w:t>
      </w:r>
      <w:proofErr w:type="spellStart"/>
      <w:r w:rsidR="00165950" w:rsidRPr="00FB3C7A">
        <w:rPr>
          <w:rFonts w:ascii="Century Gothic" w:hAnsi="Century Gothic"/>
        </w:rPr>
        <w:t>Societe</w:t>
      </w:r>
      <w:proofErr w:type="spellEnd"/>
      <w:r w:rsidR="00165950" w:rsidRPr="00FB3C7A">
        <w:rPr>
          <w:rFonts w:ascii="Century Gothic" w:hAnsi="Century Gothic"/>
        </w:rPr>
        <w:t xml:space="preserve"> </w:t>
      </w:r>
      <w:proofErr w:type="spellStart"/>
      <w:r w:rsidR="00165950" w:rsidRPr="00FB3C7A">
        <w:rPr>
          <w:rFonts w:ascii="Century Gothic" w:hAnsi="Century Gothic"/>
        </w:rPr>
        <w:t>Generale</w:t>
      </w:r>
      <w:proofErr w:type="spellEnd"/>
      <w:r w:rsidR="00C523AA" w:rsidRPr="00FB3C7A">
        <w:rPr>
          <w:rFonts w:ascii="Century Gothic" w:hAnsi="Century Gothic"/>
        </w:rPr>
        <w:t>, Paris</w:t>
      </w:r>
      <w:r w:rsidR="00165950" w:rsidRPr="00FB3C7A">
        <w:rPr>
          <w:rFonts w:ascii="Century Gothic" w:hAnsi="Century Gothic"/>
        </w:rPr>
        <w:t xml:space="preserve"> </w:t>
      </w:r>
    </w:p>
    <w:p w14:paraId="2E285202" w14:textId="5BDEE77F" w:rsidR="001A33AD" w:rsidRPr="00FB3C7A" w:rsidRDefault="001A33AD" w:rsidP="00FB0C30">
      <w:pPr>
        <w:rPr>
          <w:rFonts w:ascii="Century Gothic" w:hAnsi="Century Gothic"/>
        </w:rPr>
      </w:pPr>
    </w:p>
    <w:p w14:paraId="51EA4DE6" w14:textId="207FC8C0" w:rsidR="001A33AD" w:rsidRPr="00FB3C7A" w:rsidRDefault="00207298" w:rsidP="00FB0C30">
      <w:pPr>
        <w:rPr>
          <w:rFonts w:ascii="Century Gothic" w:hAnsi="Century Gothic"/>
        </w:rPr>
      </w:pPr>
      <w:r w:rsidRPr="00FB3C7A">
        <w:rPr>
          <w:rFonts w:ascii="Century Gothic" w:hAnsi="Century Gothic"/>
          <w:noProof/>
        </w:rPr>
        <w:drawing>
          <wp:inline distT="0" distB="0" distL="0" distR="0" wp14:anchorId="614532C2" wp14:editId="4851AC22">
            <wp:extent cx="8305033" cy="4985623"/>
            <wp:effectExtent l="0" t="0" r="1270" b="5715"/>
            <wp:docPr id="1" name="Picture 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in chairs&#10;&#10;Description automatically generated with medium confidence"/>
                    <pic:cNvPicPr/>
                  </pic:nvPicPr>
                  <pic:blipFill>
                    <a:blip r:embed="rId5"/>
                    <a:stretch>
                      <a:fillRect/>
                    </a:stretch>
                  </pic:blipFill>
                  <pic:spPr>
                    <a:xfrm>
                      <a:off x="0" y="0"/>
                      <a:ext cx="8345503" cy="5009918"/>
                    </a:xfrm>
                    <a:prstGeom prst="rect">
                      <a:avLst/>
                    </a:prstGeom>
                  </pic:spPr>
                </pic:pic>
              </a:graphicData>
            </a:graphic>
          </wp:inline>
        </w:drawing>
      </w:r>
    </w:p>
    <w:p w14:paraId="3EA38790" w14:textId="229483B8" w:rsidR="001A33AD" w:rsidRPr="00FB3C7A" w:rsidRDefault="001A33AD" w:rsidP="00FB0C30">
      <w:pPr>
        <w:rPr>
          <w:rFonts w:ascii="Century Gothic" w:hAnsi="Century Gothic"/>
        </w:rPr>
      </w:pPr>
    </w:p>
    <w:p w14:paraId="7DBACA13" w14:textId="55FEF134" w:rsidR="001A33AD" w:rsidRPr="00FB3C7A" w:rsidRDefault="001A33AD" w:rsidP="001A33AD">
      <w:pPr>
        <w:jc w:val="both"/>
        <w:rPr>
          <w:rFonts w:ascii="Century Gothic" w:eastAsia="Century Gothic" w:hAnsi="Century Gothic" w:cs="Century Gothic"/>
        </w:rPr>
      </w:pPr>
      <w:r w:rsidRPr="00FB3C7A">
        <w:rPr>
          <w:rFonts w:ascii="Century Gothic" w:eastAsia="Century Gothic" w:hAnsi="Century Gothic" w:cs="Century Gothic"/>
        </w:rPr>
        <w:t>SAMRIDH Healthcare Blended Financing Facility, supported by USAID, participated in a panel discussion featuring an eminent group of sustainability and finance experts on Thursday, 9</w:t>
      </w:r>
      <w:r w:rsidRPr="00FB3C7A">
        <w:rPr>
          <w:rFonts w:ascii="Century Gothic" w:eastAsia="Century Gothic" w:hAnsi="Century Gothic" w:cs="Century Gothic"/>
          <w:vertAlign w:val="superscript"/>
        </w:rPr>
        <w:t>th</w:t>
      </w:r>
      <w:r w:rsidRPr="00FB3C7A">
        <w:rPr>
          <w:rFonts w:ascii="Century Gothic" w:eastAsia="Century Gothic" w:hAnsi="Century Gothic" w:cs="Century Gothic"/>
        </w:rPr>
        <w:t xml:space="preserve"> June 2022. </w:t>
      </w:r>
      <w:r w:rsidR="00BB4B05">
        <w:rPr>
          <w:rFonts w:ascii="Century Gothic" w:eastAsia="Century Gothic" w:hAnsi="Century Gothic" w:cs="Century Gothic"/>
        </w:rPr>
        <w:t>At t</w:t>
      </w:r>
      <w:r w:rsidRPr="00FB3C7A">
        <w:rPr>
          <w:rFonts w:ascii="Century Gothic" w:eastAsia="Century Gothic" w:hAnsi="Century Gothic" w:cs="Century Gothic"/>
        </w:rPr>
        <w:t xml:space="preserve">he session, hosted by </w:t>
      </w:r>
      <w:proofErr w:type="spellStart"/>
      <w:r w:rsidRPr="00FB3C7A">
        <w:rPr>
          <w:rFonts w:ascii="Century Gothic" w:eastAsia="Century Gothic" w:hAnsi="Century Gothic" w:cs="Century Gothic"/>
        </w:rPr>
        <w:t>Societe</w:t>
      </w:r>
      <w:proofErr w:type="spellEnd"/>
      <w:r w:rsidRPr="00FB3C7A">
        <w:rPr>
          <w:rFonts w:ascii="Century Gothic" w:eastAsia="Century Gothic" w:hAnsi="Century Gothic" w:cs="Century Gothic"/>
        </w:rPr>
        <w:t xml:space="preserve"> </w:t>
      </w:r>
      <w:proofErr w:type="spellStart"/>
      <w:r w:rsidRPr="00FB3C7A">
        <w:rPr>
          <w:rFonts w:ascii="Century Gothic" w:eastAsia="Century Gothic" w:hAnsi="Century Gothic" w:cs="Century Gothic"/>
        </w:rPr>
        <w:t>Generale</w:t>
      </w:r>
      <w:proofErr w:type="spellEnd"/>
      <w:r w:rsidRPr="00FB3C7A">
        <w:rPr>
          <w:rFonts w:ascii="Century Gothic" w:eastAsia="Century Gothic" w:hAnsi="Century Gothic" w:cs="Century Gothic"/>
        </w:rPr>
        <w:t xml:space="preserve">, </w:t>
      </w:r>
      <w:r w:rsidR="00BB4B05">
        <w:rPr>
          <w:rFonts w:ascii="Century Gothic" w:eastAsia="Century Gothic" w:hAnsi="Century Gothic" w:cs="Century Gothic"/>
        </w:rPr>
        <w:t xml:space="preserve">speakers </w:t>
      </w:r>
      <w:r w:rsidRPr="00FB3C7A">
        <w:rPr>
          <w:rFonts w:ascii="Century Gothic" w:eastAsia="Century Gothic" w:hAnsi="Century Gothic" w:cs="Century Gothic"/>
        </w:rPr>
        <w:t xml:space="preserve">examined </w:t>
      </w:r>
      <w:r w:rsidR="00BB4B05">
        <w:rPr>
          <w:rFonts w:ascii="Century Gothic" w:eastAsia="Century Gothic" w:hAnsi="Century Gothic" w:cs="Century Gothic"/>
        </w:rPr>
        <w:t xml:space="preserve">how </w:t>
      </w:r>
      <w:r w:rsidRPr="00FB3C7A">
        <w:rPr>
          <w:rFonts w:ascii="Century Gothic" w:eastAsia="Century Gothic" w:hAnsi="Century Gothic" w:cs="Century Gothic"/>
        </w:rPr>
        <w:t xml:space="preserve">blended finance </w:t>
      </w:r>
      <w:r w:rsidR="00BB4B05">
        <w:rPr>
          <w:rFonts w:ascii="Century Gothic" w:eastAsia="Century Gothic" w:hAnsi="Century Gothic" w:cs="Century Gothic"/>
        </w:rPr>
        <w:t>can help raise resources to accelerate progress</w:t>
      </w:r>
      <w:r w:rsidRPr="00FB3C7A">
        <w:rPr>
          <w:rFonts w:ascii="Century Gothic" w:eastAsia="Century Gothic" w:hAnsi="Century Gothic" w:cs="Century Gothic"/>
        </w:rPr>
        <w:t xml:space="preserve"> on Sustainable Development Goals (SDGs). </w:t>
      </w:r>
    </w:p>
    <w:p w14:paraId="01E73DF5" w14:textId="77777777" w:rsidR="001A33AD" w:rsidRPr="00FB3C7A" w:rsidRDefault="001A33AD" w:rsidP="001A33AD">
      <w:pPr>
        <w:jc w:val="both"/>
        <w:rPr>
          <w:rFonts w:ascii="Century Gothic" w:eastAsia="Century Gothic" w:hAnsi="Century Gothic" w:cs="Century Gothic"/>
        </w:rPr>
      </w:pPr>
    </w:p>
    <w:p w14:paraId="7740A393" w14:textId="30784A62" w:rsidR="00C76677" w:rsidRPr="00C76677" w:rsidRDefault="00C76677" w:rsidP="00C76677">
      <w:pPr>
        <w:rPr>
          <w:rFonts w:ascii="Century Gothic" w:eastAsia="Times New Roman" w:hAnsi="Century Gothic" w:cs="Bangla Sangam MN"/>
          <w:lang w:eastAsia="en-GB"/>
        </w:rPr>
      </w:pPr>
      <w:r w:rsidRPr="00C76677">
        <w:rPr>
          <w:rFonts w:ascii="Century Gothic" w:eastAsia="Times New Roman" w:hAnsi="Century Gothic" w:cs="Bangla Sangam MN"/>
          <w:color w:val="000000"/>
          <w:shd w:val="clear" w:color="auto" w:fill="FFFFFF"/>
          <w:lang w:val="en-US" w:eastAsia="en-GB"/>
        </w:rPr>
        <w:t>SAMRIDH leveraged the opportunity to reveal the various stages of its journey while explaining how blended financing is helping strengthen the healthcare system in India after the COVID-19 outbreak. </w:t>
      </w:r>
      <w:r w:rsidRPr="00C76677">
        <w:rPr>
          <w:rFonts w:ascii="Century Gothic" w:eastAsia="Times New Roman" w:hAnsi="Century Gothic" w:cs="Bangla Sangam MN"/>
          <w:color w:val="000000"/>
          <w:shd w:val="clear" w:color="auto" w:fill="FFFFFF"/>
          <w:lang w:eastAsia="en-GB"/>
        </w:rPr>
        <w:t>Himanshu Sikka, Project Director, SAMRIDH</w:t>
      </w:r>
      <w:r w:rsidR="00BB4B05">
        <w:rPr>
          <w:rFonts w:ascii="Century Gothic" w:eastAsia="Times New Roman" w:hAnsi="Century Gothic" w:cs="Bangla Sangam MN"/>
          <w:color w:val="000000"/>
          <w:shd w:val="clear" w:color="auto" w:fill="FFFFFF"/>
          <w:lang w:eastAsia="en-GB"/>
        </w:rPr>
        <w:t>,</w:t>
      </w:r>
      <w:r w:rsidRPr="00C76677">
        <w:rPr>
          <w:rFonts w:ascii="Century Gothic" w:eastAsia="Times New Roman" w:hAnsi="Century Gothic" w:cs="Bangla Sangam MN"/>
          <w:color w:val="000000"/>
          <w:shd w:val="clear" w:color="auto" w:fill="FFFFFF"/>
          <w:lang w:eastAsia="en-GB"/>
        </w:rPr>
        <w:t xml:space="preserve"> and Chief Strategy and Diversification Officer (Health, Nutrition WASH), IPE Global, talked about how the rapid progress of the pandemic increased the </w:t>
      </w:r>
      <w:r w:rsidRPr="00C76677">
        <w:rPr>
          <w:rFonts w:ascii="Century Gothic" w:eastAsia="Times New Roman" w:hAnsi="Century Gothic" w:cs="Bangla Sangam MN"/>
          <w:color w:val="000000"/>
          <w:shd w:val="clear" w:color="auto" w:fill="FFFFFF"/>
          <w:lang w:val="en-US" w:eastAsia="en-GB"/>
        </w:rPr>
        <w:t>pressure on existing health facilities, especially in tier 2 and tier 3 towns, substantially, with a huge surge of patient load leading to challenges on multiple fronts, including raising capital and addressing infrastructure gaps. While a battery of early-stage companies with solutions to these challenges existed, they lacked the right kind of capital to scale up operations. SAMRIDH quickly stepped in by combining </w:t>
      </w:r>
      <w:r w:rsidRPr="00C76677">
        <w:rPr>
          <w:rFonts w:ascii="Century Gothic" w:eastAsia="Times New Roman" w:hAnsi="Century Gothic" w:cs="Bangla Sangam MN"/>
          <w:color w:val="000000"/>
          <w:shd w:val="clear" w:color="auto" w:fill="FFFFFF"/>
          <w:lang w:eastAsia="en-GB"/>
        </w:rPr>
        <w:t xml:space="preserve">commercial capital with public and philanthropic funds, thereby improving access to affordable and quality healthcare at a critical juncture. </w:t>
      </w:r>
      <w:r w:rsidR="00FB3C7A" w:rsidRPr="00FB3C7A">
        <w:rPr>
          <w:rFonts w:ascii="Century Gothic" w:eastAsia="Times New Roman" w:hAnsi="Century Gothic" w:cs="Bangla Sangam MN"/>
          <w:color w:val="000000"/>
          <w:shd w:val="clear" w:color="auto" w:fill="FFFFFF"/>
          <w:lang w:eastAsia="en-GB"/>
        </w:rPr>
        <w:t xml:space="preserve">Mr. </w:t>
      </w:r>
      <w:r w:rsidRPr="00C76677">
        <w:rPr>
          <w:rFonts w:ascii="Century Gothic" w:eastAsia="Times New Roman" w:hAnsi="Century Gothic" w:cs="Bangla Sangam MN"/>
          <w:color w:val="000000"/>
          <w:shd w:val="clear" w:color="auto" w:fill="FFFFFF"/>
          <w:lang w:eastAsia="en-GB"/>
        </w:rPr>
        <w:t>Sikka also touched on how SAMRIDH was able to overcome the regulatory challenges posed by the FCRA and CSR changes post-pandemic, because of strong bilateral support from USAID and the Government of India. SAMRIDH has completed 25 transactions using several different instruments such as risk guarantees, collateral support, interest prevention, and social success notes, among others. </w:t>
      </w:r>
      <w:r w:rsidR="00FB3C7A" w:rsidRPr="00FB3C7A">
        <w:rPr>
          <w:rFonts w:ascii="Century Gothic" w:eastAsia="Times New Roman" w:hAnsi="Century Gothic" w:cs="Bangla Sangam MN"/>
          <w:color w:val="000000"/>
          <w:shd w:val="clear" w:color="auto" w:fill="FFFFFF"/>
          <w:lang w:eastAsia="en-GB"/>
        </w:rPr>
        <w:t xml:space="preserve">This, as Mr. Sikka pointed out, demonstrates the power of a </w:t>
      </w:r>
      <w:r w:rsidRPr="00C76677">
        <w:rPr>
          <w:rFonts w:ascii="Century Gothic" w:eastAsia="Times New Roman" w:hAnsi="Century Gothic" w:cs="Bangla Sangam MN"/>
          <w:color w:val="000000"/>
          <w:shd w:val="clear" w:color="auto" w:fill="FFFFFF"/>
          <w:lang w:val="en-US" w:eastAsia="en-GB"/>
        </w:rPr>
        <w:t xml:space="preserve"> platform-based approach</w:t>
      </w:r>
      <w:r w:rsidR="00FB3C7A" w:rsidRPr="00FB3C7A">
        <w:rPr>
          <w:rFonts w:ascii="Century Gothic" w:eastAsia="Times New Roman" w:hAnsi="Century Gothic" w:cs="Bangla Sangam MN"/>
          <w:color w:val="000000"/>
          <w:shd w:val="clear" w:color="auto" w:fill="FFFFFF"/>
          <w:lang w:val="en-US" w:eastAsia="en-GB"/>
        </w:rPr>
        <w:t xml:space="preserve">, adding that </w:t>
      </w:r>
      <w:r w:rsidRPr="00C76677">
        <w:rPr>
          <w:rFonts w:ascii="Century Gothic" w:eastAsia="Times New Roman" w:hAnsi="Century Gothic" w:cs="Bangla Sangam MN"/>
          <w:color w:val="000000"/>
          <w:shd w:val="clear" w:color="auto" w:fill="FFFFFF"/>
          <w:lang w:val="en-US" w:eastAsia="en-GB"/>
        </w:rPr>
        <w:t>SAMRIDH is going a step further by examining portfolio-level transactions. </w:t>
      </w:r>
    </w:p>
    <w:p w14:paraId="460ECAFE" w14:textId="77777777" w:rsidR="00904631" w:rsidRPr="00FB3C7A" w:rsidRDefault="00904631" w:rsidP="00904631">
      <w:pPr>
        <w:jc w:val="both"/>
        <w:rPr>
          <w:rFonts w:ascii="Century Gothic" w:hAnsi="Century Gothic"/>
          <w:lang w:val="en-US"/>
        </w:rPr>
      </w:pPr>
    </w:p>
    <w:p w14:paraId="1391E9EA" w14:textId="5FC762F7" w:rsidR="00904631" w:rsidRPr="00FB3C7A" w:rsidRDefault="00904631" w:rsidP="00904631">
      <w:pPr>
        <w:rPr>
          <w:rFonts w:ascii="Century Gothic" w:eastAsia="Century Gothic" w:hAnsi="Century Gothic" w:cs="Century Gothic"/>
          <w:b/>
        </w:rPr>
      </w:pPr>
      <w:r w:rsidRPr="00FB3C7A">
        <w:rPr>
          <w:rFonts w:ascii="Century Gothic" w:eastAsia="Century Gothic" w:hAnsi="Century Gothic" w:cs="Century Gothic"/>
          <w:b/>
        </w:rPr>
        <w:t>Other highlights of the discussion:</w:t>
      </w:r>
    </w:p>
    <w:p w14:paraId="787C5073" w14:textId="77777777" w:rsidR="00351FED" w:rsidRPr="00351FED" w:rsidRDefault="00351FED" w:rsidP="00351FED">
      <w:pPr>
        <w:pStyle w:val="ListParagraph"/>
        <w:numPr>
          <w:ilvl w:val="0"/>
          <w:numId w:val="3"/>
        </w:numPr>
        <w:rPr>
          <w:rFonts w:ascii="Century Gothic" w:hAnsi="Century Gothic"/>
          <w:lang w:eastAsia="en-GB"/>
        </w:rPr>
      </w:pPr>
      <w:r w:rsidRPr="00351FED">
        <w:rPr>
          <w:rFonts w:ascii="Century Gothic" w:hAnsi="Century Gothic"/>
          <w:lang w:eastAsia="en-GB"/>
        </w:rPr>
        <w:t xml:space="preserve">Leverage opportunities are high with blended finance and it provides an effective toolkit to help raise the additional funding countries need to achieve SDGs in the post COVID-19 scenario. </w:t>
      </w:r>
    </w:p>
    <w:p w14:paraId="7D9A20E2" w14:textId="06DBCC4C" w:rsidR="00FB3C7A" w:rsidRPr="00FB3C7A" w:rsidRDefault="00FB3C7A" w:rsidP="00CA5D67">
      <w:pPr>
        <w:pStyle w:val="ListParagraph"/>
        <w:numPr>
          <w:ilvl w:val="0"/>
          <w:numId w:val="3"/>
        </w:numPr>
        <w:shd w:val="clear" w:color="auto" w:fill="FFFFFF"/>
        <w:spacing w:after="450" w:line="408" w:lineRule="atLeast"/>
        <w:outlineLvl w:val="1"/>
        <w:rPr>
          <w:rFonts w:ascii="Century Gothic" w:eastAsia="Times New Roman" w:hAnsi="Century Gothic" w:cs="Bangla Sangam MN"/>
          <w:color w:val="000000"/>
          <w:spacing w:val="3"/>
          <w:shd w:val="clear" w:color="auto" w:fill="FFFFFF"/>
          <w:lang w:eastAsia="en-GB"/>
        </w:rPr>
      </w:pPr>
      <w:r w:rsidRPr="00FB3C7A">
        <w:rPr>
          <w:rFonts w:ascii="Century Gothic" w:eastAsia="Times New Roman" w:hAnsi="Century Gothic" w:cs="Bangla Sangam MN"/>
          <w:color w:val="000000"/>
          <w:spacing w:val="3"/>
          <w:shd w:val="clear" w:color="auto" w:fill="FFFFFF"/>
          <w:lang w:eastAsia="en-GB"/>
        </w:rPr>
        <w:t>With blended finance, impact and credit enhancements are high, which is why it's easy to take them to the next level.</w:t>
      </w:r>
    </w:p>
    <w:p w14:paraId="7712A0E2" w14:textId="77777777" w:rsidR="00091F9B" w:rsidRPr="00FB3C7A" w:rsidRDefault="00091F9B" w:rsidP="00695915">
      <w:pPr>
        <w:pStyle w:val="ListParagraph"/>
        <w:numPr>
          <w:ilvl w:val="0"/>
          <w:numId w:val="3"/>
        </w:numPr>
        <w:rPr>
          <w:rFonts w:ascii="Century Gothic" w:eastAsia="Times New Roman" w:hAnsi="Century Gothic" w:cs="Bangla Sangam MN"/>
          <w:color w:val="000000"/>
          <w:spacing w:val="3"/>
          <w:shd w:val="clear" w:color="auto" w:fill="FFFFFF"/>
          <w:lang w:eastAsia="en-GB"/>
        </w:rPr>
      </w:pPr>
      <w:r w:rsidRPr="00FB3C7A">
        <w:rPr>
          <w:rFonts w:ascii="Century Gothic" w:eastAsia="Times New Roman" w:hAnsi="Century Gothic" w:cs="Bangla Sangam MN"/>
          <w:color w:val="000000"/>
          <w:spacing w:val="3"/>
          <w:shd w:val="clear" w:color="auto" w:fill="FFFFFF"/>
          <w:lang w:eastAsia="en-GB"/>
        </w:rPr>
        <w:t>To enable the use of CSR for outcome funding, it is necessary to improve the clarity of regulations.</w:t>
      </w:r>
    </w:p>
    <w:p w14:paraId="20BFC157" w14:textId="0B034313" w:rsidR="00091F9B" w:rsidRPr="00FB3C7A" w:rsidRDefault="00091F9B" w:rsidP="00091F9B">
      <w:pPr>
        <w:pStyle w:val="ListParagraph"/>
        <w:numPr>
          <w:ilvl w:val="0"/>
          <w:numId w:val="3"/>
        </w:numPr>
        <w:rPr>
          <w:rFonts w:ascii="Century Gothic" w:eastAsia="Times New Roman" w:hAnsi="Century Gothic" w:cs="Bangla Sangam MN"/>
          <w:lang w:eastAsia="en-GB"/>
        </w:rPr>
      </w:pPr>
      <w:r w:rsidRPr="00FB3C7A">
        <w:rPr>
          <w:rFonts w:ascii="Century Gothic" w:eastAsia="Times New Roman" w:hAnsi="Century Gothic" w:cs="Bangla Sangam MN"/>
          <w:color w:val="000000"/>
          <w:spacing w:val="3"/>
          <w:shd w:val="clear" w:color="auto" w:fill="FFFFFF"/>
          <w:lang w:eastAsia="en-GB"/>
        </w:rPr>
        <w:t>CSR should focus on outcomes rather than the service delivery model it currently follows.</w:t>
      </w:r>
    </w:p>
    <w:p w14:paraId="368DEC9B" w14:textId="5E186D65" w:rsidR="001A33AD" w:rsidRPr="00FB3C7A" w:rsidRDefault="00091F9B" w:rsidP="00091F9B">
      <w:pPr>
        <w:pStyle w:val="ListParagraph"/>
        <w:numPr>
          <w:ilvl w:val="0"/>
          <w:numId w:val="3"/>
        </w:numPr>
        <w:rPr>
          <w:rFonts w:ascii="Century Gothic" w:eastAsia="Times New Roman" w:hAnsi="Century Gothic" w:cs="Bangla Sangam MN"/>
          <w:lang w:eastAsia="en-GB"/>
        </w:rPr>
      </w:pPr>
      <w:r w:rsidRPr="00FB3C7A">
        <w:rPr>
          <w:rFonts w:ascii="Century Gothic" w:hAnsi="Century Gothic"/>
          <w:lang w:val="en-US"/>
        </w:rPr>
        <w:t>It is critical that corporates see themselves as catalysts, and that they move beyond a project-based approach toward a broader</w:t>
      </w:r>
      <w:r w:rsidR="00C911FE">
        <w:rPr>
          <w:rFonts w:ascii="Century Gothic" w:hAnsi="Century Gothic"/>
          <w:lang w:val="en-US"/>
        </w:rPr>
        <w:t>,</w:t>
      </w:r>
      <w:r w:rsidRPr="00FB3C7A">
        <w:rPr>
          <w:rFonts w:ascii="Century Gothic" w:hAnsi="Century Gothic"/>
          <w:lang w:val="en-US"/>
        </w:rPr>
        <w:t xml:space="preserve"> program-based approach.</w:t>
      </w:r>
    </w:p>
    <w:p w14:paraId="7EC56552" w14:textId="5FFD23E3" w:rsidR="00B55F40" w:rsidRPr="00FB3C7A" w:rsidRDefault="00B55F40" w:rsidP="00FB0C30">
      <w:pPr>
        <w:rPr>
          <w:rFonts w:ascii="Century Gothic" w:hAnsi="Century Gothic"/>
        </w:rPr>
      </w:pPr>
    </w:p>
    <w:p w14:paraId="0D56AD6F" w14:textId="5148395D" w:rsidR="0032160B" w:rsidRPr="00FB3C7A" w:rsidRDefault="0032160B" w:rsidP="00FB0C30">
      <w:pPr>
        <w:rPr>
          <w:rFonts w:ascii="Century Gothic" w:hAnsi="Century Gothic"/>
        </w:rPr>
      </w:pPr>
    </w:p>
    <w:p w14:paraId="5ACD8DE9" w14:textId="77777777" w:rsidR="0032160B" w:rsidRPr="00FB3C7A" w:rsidRDefault="0032160B" w:rsidP="00FB0C30">
      <w:pPr>
        <w:rPr>
          <w:rFonts w:ascii="Century Gothic" w:hAnsi="Century Gothic"/>
        </w:rPr>
      </w:pPr>
    </w:p>
    <w:sectPr w:rsidR="0032160B" w:rsidRPr="00FB3C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angla Sangam MN">
    <w:panose1 w:val="02000000000000000000"/>
    <w:charset w:val="00"/>
    <w:family w:val="auto"/>
    <w:pitch w:val="variable"/>
    <w:sig w:usb0="808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DC21BF"/>
    <w:multiLevelType w:val="hybridMultilevel"/>
    <w:tmpl w:val="B4DCD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3D0A07"/>
    <w:multiLevelType w:val="multilevel"/>
    <w:tmpl w:val="BDEEE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EE714B"/>
    <w:multiLevelType w:val="hybridMultilevel"/>
    <w:tmpl w:val="323A2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AE7"/>
    <w:rsid w:val="00091F9B"/>
    <w:rsid w:val="00165950"/>
    <w:rsid w:val="001A33AD"/>
    <w:rsid w:val="001D3C70"/>
    <w:rsid w:val="00207298"/>
    <w:rsid w:val="0032160B"/>
    <w:rsid w:val="00351FED"/>
    <w:rsid w:val="003F5AE7"/>
    <w:rsid w:val="004A4BA9"/>
    <w:rsid w:val="005602A2"/>
    <w:rsid w:val="00573632"/>
    <w:rsid w:val="00695915"/>
    <w:rsid w:val="00751A7A"/>
    <w:rsid w:val="00823D3F"/>
    <w:rsid w:val="00904631"/>
    <w:rsid w:val="0094300B"/>
    <w:rsid w:val="009A056D"/>
    <w:rsid w:val="009E2AFB"/>
    <w:rsid w:val="00B55F40"/>
    <w:rsid w:val="00BB4B05"/>
    <w:rsid w:val="00C523AA"/>
    <w:rsid w:val="00C76677"/>
    <w:rsid w:val="00C911FE"/>
    <w:rsid w:val="00CA5D67"/>
    <w:rsid w:val="00D4301D"/>
    <w:rsid w:val="00D9755E"/>
    <w:rsid w:val="00EB2875"/>
    <w:rsid w:val="00FB0C30"/>
    <w:rsid w:val="00FB3C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01FB1477"/>
  <w15:chartTrackingRefBased/>
  <w15:docId w15:val="{74D288CB-2C11-F349-9679-CA706ACB3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E2AFB"/>
    <w:pPr>
      <w:spacing w:before="100" w:beforeAutospacing="1" w:after="100" w:afterAutospacing="1"/>
      <w:outlineLvl w:val="1"/>
    </w:pPr>
    <w:rPr>
      <w:rFonts w:ascii="Bangla Sangam MN" w:eastAsia="Times New Roman" w:hAnsi="Bangla Sangam MN" w:cs="Bangla Sangam M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55F40"/>
    <w:rPr>
      <w:b/>
      <w:bCs/>
    </w:rPr>
  </w:style>
  <w:style w:type="paragraph" w:styleId="ListParagraph">
    <w:name w:val="List Paragraph"/>
    <w:basedOn w:val="Normal"/>
    <w:uiPriority w:val="34"/>
    <w:qFormat/>
    <w:rsid w:val="00904631"/>
    <w:pPr>
      <w:ind w:left="720"/>
      <w:contextualSpacing/>
    </w:pPr>
  </w:style>
  <w:style w:type="character" w:customStyle="1" w:styleId="Heading2Char">
    <w:name w:val="Heading 2 Char"/>
    <w:basedOn w:val="DefaultParagraphFont"/>
    <w:link w:val="Heading2"/>
    <w:uiPriority w:val="9"/>
    <w:rsid w:val="009E2AFB"/>
    <w:rPr>
      <w:rFonts w:ascii="Bangla Sangam MN" w:eastAsia="Times New Roman" w:hAnsi="Bangla Sangam MN" w:cs="Bangla Sangam M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796873">
      <w:bodyDiv w:val="1"/>
      <w:marLeft w:val="0"/>
      <w:marRight w:val="0"/>
      <w:marTop w:val="0"/>
      <w:marBottom w:val="0"/>
      <w:divBdr>
        <w:top w:val="none" w:sz="0" w:space="0" w:color="auto"/>
        <w:left w:val="none" w:sz="0" w:space="0" w:color="auto"/>
        <w:bottom w:val="none" w:sz="0" w:space="0" w:color="auto"/>
        <w:right w:val="none" w:sz="0" w:space="0" w:color="auto"/>
      </w:divBdr>
    </w:div>
    <w:div w:id="441657966">
      <w:bodyDiv w:val="1"/>
      <w:marLeft w:val="0"/>
      <w:marRight w:val="0"/>
      <w:marTop w:val="0"/>
      <w:marBottom w:val="0"/>
      <w:divBdr>
        <w:top w:val="none" w:sz="0" w:space="0" w:color="auto"/>
        <w:left w:val="none" w:sz="0" w:space="0" w:color="auto"/>
        <w:bottom w:val="none" w:sz="0" w:space="0" w:color="auto"/>
        <w:right w:val="none" w:sz="0" w:space="0" w:color="auto"/>
      </w:divBdr>
    </w:div>
    <w:div w:id="751510154">
      <w:bodyDiv w:val="1"/>
      <w:marLeft w:val="0"/>
      <w:marRight w:val="0"/>
      <w:marTop w:val="0"/>
      <w:marBottom w:val="0"/>
      <w:divBdr>
        <w:top w:val="none" w:sz="0" w:space="0" w:color="auto"/>
        <w:left w:val="none" w:sz="0" w:space="0" w:color="auto"/>
        <w:bottom w:val="none" w:sz="0" w:space="0" w:color="auto"/>
        <w:right w:val="none" w:sz="0" w:space="0" w:color="auto"/>
      </w:divBdr>
    </w:div>
    <w:div w:id="767965743">
      <w:bodyDiv w:val="1"/>
      <w:marLeft w:val="0"/>
      <w:marRight w:val="0"/>
      <w:marTop w:val="0"/>
      <w:marBottom w:val="0"/>
      <w:divBdr>
        <w:top w:val="none" w:sz="0" w:space="0" w:color="auto"/>
        <w:left w:val="none" w:sz="0" w:space="0" w:color="auto"/>
        <w:bottom w:val="none" w:sz="0" w:space="0" w:color="auto"/>
        <w:right w:val="none" w:sz="0" w:space="0" w:color="auto"/>
      </w:divBdr>
    </w:div>
    <w:div w:id="1028261709">
      <w:bodyDiv w:val="1"/>
      <w:marLeft w:val="0"/>
      <w:marRight w:val="0"/>
      <w:marTop w:val="0"/>
      <w:marBottom w:val="0"/>
      <w:divBdr>
        <w:top w:val="none" w:sz="0" w:space="0" w:color="auto"/>
        <w:left w:val="none" w:sz="0" w:space="0" w:color="auto"/>
        <w:bottom w:val="none" w:sz="0" w:space="0" w:color="auto"/>
        <w:right w:val="none" w:sz="0" w:space="0" w:color="auto"/>
      </w:divBdr>
    </w:div>
    <w:div w:id="1094127383">
      <w:bodyDiv w:val="1"/>
      <w:marLeft w:val="0"/>
      <w:marRight w:val="0"/>
      <w:marTop w:val="0"/>
      <w:marBottom w:val="0"/>
      <w:divBdr>
        <w:top w:val="none" w:sz="0" w:space="0" w:color="auto"/>
        <w:left w:val="none" w:sz="0" w:space="0" w:color="auto"/>
        <w:bottom w:val="none" w:sz="0" w:space="0" w:color="auto"/>
        <w:right w:val="none" w:sz="0" w:space="0" w:color="auto"/>
      </w:divBdr>
    </w:div>
    <w:div w:id="1194614002">
      <w:bodyDiv w:val="1"/>
      <w:marLeft w:val="0"/>
      <w:marRight w:val="0"/>
      <w:marTop w:val="0"/>
      <w:marBottom w:val="0"/>
      <w:divBdr>
        <w:top w:val="none" w:sz="0" w:space="0" w:color="auto"/>
        <w:left w:val="none" w:sz="0" w:space="0" w:color="auto"/>
        <w:bottom w:val="none" w:sz="0" w:space="0" w:color="auto"/>
        <w:right w:val="none" w:sz="0" w:space="0" w:color="auto"/>
      </w:divBdr>
    </w:div>
    <w:div w:id="1334340507">
      <w:bodyDiv w:val="1"/>
      <w:marLeft w:val="0"/>
      <w:marRight w:val="0"/>
      <w:marTop w:val="0"/>
      <w:marBottom w:val="0"/>
      <w:divBdr>
        <w:top w:val="none" w:sz="0" w:space="0" w:color="auto"/>
        <w:left w:val="none" w:sz="0" w:space="0" w:color="auto"/>
        <w:bottom w:val="none" w:sz="0" w:space="0" w:color="auto"/>
        <w:right w:val="none" w:sz="0" w:space="0" w:color="auto"/>
      </w:divBdr>
    </w:div>
    <w:div w:id="1719545987">
      <w:bodyDiv w:val="1"/>
      <w:marLeft w:val="0"/>
      <w:marRight w:val="0"/>
      <w:marTop w:val="0"/>
      <w:marBottom w:val="0"/>
      <w:divBdr>
        <w:top w:val="none" w:sz="0" w:space="0" w:color="auto"/>
        <w:left w:val="none" w:sz="0" w:space="0" w:color="auto"/>
        <w:bottom w:val="none" w:sz="0" w:space="0" w:color="auto"/>
        <w:right w:val="none" w:sz="0" w:space="0" w:color="auto"/>
      </w:divBdr>
    </w:div>
    <w:div w:id="194137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dc:creator>
  <cp:keywords/>
  <dc:description/>
  <cp:lastModifiedBy>SV</cp:lastModifiedBy>
  <cp:revision>9</cp:revision>
  <dcterms:created xsi:type="dcterms:W3CDTF">2022-06-09T11:41:00Z</dcterms:created>
  <dcterms:modified xsi:type="dcterms:W3CDTF">2022-06-10T06:31:00Z</dcterms:modified>
</cp:coreProperties>
</file>